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CD" w:rsidRDefault="000B6DC6">
      <w:r>
        <w:rPr>
          <w:color w:val="000000"/>
          <w:lang w:val="en-US"/>
        </w:rPr>
        <w:t>Nytt avsnitt foran pkt om Sjølaksefiske</w:t>
      </w:r>
      <w:r>
        <w:rPr>
          <w:color w:val="000000"/>
          <w:lang w:val="en-US"/>
        </w:rPr>
        <w:br/>
        <w:t>Sametinget viser til at store deler av fiske-ressursene eksporteres som råvarer ut for å bli bearbeidet i utlandet, for så å bli importert tilbake som foredlede produkter for salg i Norge. Denne type virksomhet undergraver lokale foredlings-arbeidsplasser på land, og landet som helhet taper verdiskapning. Sametinget mener det må innføres et prinsipp om en ressursrentebeskatning på råstoff som eksporteres ut av landet.</w:t>
      </w:r>
      <w:bookmarkStart w:id="0" w:name="_GoBack"/>
      <w:bookmarkEnd w:id="0"/>
    </w:p>
    <w:sectPr w:rsidR="0081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6"/>
    <w:rsid w:val="000B6DC6"/>
    <w:rsid w:val="008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5C77-FD7B-4560-92D7-55897AA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2020-10-15T13:27:00Z</dcterms:created>
  <dcterms:modified xsi:type="dcterms:W3CDTF">2020-10-15T13:29:00Z</dcterms:modified>
</cp:coreProperties>
</file>