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4CD6" w14:textId="77777777" w:rsidR="00C1317B" w:rsidRDefault="001E40F0">
      <w:r>
        <w:t>Orienteringssak Sametingets p</w:t>
      </w:r>
      <w:r w:rsidR="00DC4476">
        <w:t xml:space="preserve">lenum – </w:t>
      </w:r>
      <w:r w:rsidRPr="001E40F0">
        <w:t>Forvaltning og oppfølging av den samiske dimensjonen i Interreg</w:t>
      </w:r>
    </w:p>
    <w:p w14:paraId="4692899B" w14:textId="77777777" w:rsidR="001E40F0" w:rsidRDefault="001E40F0"/>
    <w:p w14:paraId="7EB5CD4E" w14:textId="77777777" w:rsidR="009622CB" w:rsidRDefault="009622CB">
      <w:r>
        <w:t>Interreg er EUs program for å fremme sosial og økonomisk integrasjon over landegrensene gjennom regionalt samarbeid. Det finnes 79 ulike Interreg-programmer, der Norge i forrige programperiode deltok på 11 ulike programmer.</w:t>
      </w:r>
    </w:p>
    <w:p w14:paraId="1F922CEA" w14:textId="77777777" w:rsidR="0037242D" w:rsidRDefault="009622CB">
      <w:r>
        <w:t>N</w:t>
      </w:r>
      <w:r w:rsidR="00471BB9">
        <w:t xml:space="preserve">este programperiode er fra 2021 til 2027. </w:t>
      </w:r>
      <w:r>
        <w:t>Sametinget har deltatt i utformingen av</w:t>
      </w:r>
      <w:r w:rsidR="00471BB9">
        <w:t xml:space="preserve"> program</w:t>
      </w:r>
      <w:r w:rsidR="00E87162">
        <w:t xml:space="preserve">met Interreg Aurora. </w:t>
      </w:r>
      <w:r w:rsidR="0037242D">
        <w:t>Sametinget har også påtatt seg et sekretariatsansvar i</w:t>
      </w:r>
      <w:r w:rsidR="00E13873">
        <w:t xml:space="preserve"> Interreg Aurora i</w:t>
      </w:r>
      <w:r w:rsidR="0037242D">
        <w:t xml:space="preserve"> kommende periode. </w:t>
      </w:r>
    </w:p>
    <w:p w14:paraId="45D1BEFC" w14:textId="77777777" w:rsidR="00DC4476" w:rsidRDefault="006C3FEA">
      <w:r>
        <w:rPr>
          <w:noProof/>
          <w:lang w:eastAsia="nb-NO"/>
        </w:rPr>
        <w:drawing>
          <wp:anchor distT="0" distB="0" distL="114300" distR="114300" simplePos="0" relativeHeight="251658240" behindDoc="0" locked="0" layoutInCell="1" allowOverlap="1" wp14:anchorId="1FC740FB" wp14:editId="3A14A916">
            <wp:simplePos x="0" y="0"/>
            <wp:positionH relativeFrom="margin">
              <wp:align>right</wp:align>
            </wp:positionH>
            <wp:positionV relativeFrom="paragraph">
              <wp:posOffset>-1905</wp:posOffset>
            </wp:positionV>
            <wp:extent cx="2465070" cy="3426460"/>
            <wp:effectExtent l="0" t="0" r="0" b="2540"/>
            <wp:wrapSquare wrapText="bothSides"/>
            <wp:docPr id="32773" name="Bildobjekt 3" descr="En bild som visar karta&#10;&#10;Automatiskt genererad beskrivning">
              <a:extLst xmlns:a="http://schemas.openxmlformats.org/drawingml/2006/main">
                <a:ext uri="{FF2B5EF4-FFF2-40B4-BE49-F238E27FC236}">
                  <a16:creationId xmlns:a16="http://schemas.microsoft.com/office/drawing/2014/main" id="{E1BCBBA3-D309-4D06-8ABB-961E5D64F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Bildobjekt 3" descr="En bild som visar karta&#10;&#10;Automatiskt genererad beskrivning">
                      <a:extLst>
                        <a:ext uri="{FF2B5EF4-FFF2-40B4-BE49-F238E27FC236}">
                          <a16:creationId xmlns:a16="http://schemas.microsoft.com/office/drawing/2014/main" id="{E1BCBBA3-D309-4D06-8ABB-961E5D64F018}"/>
                        </a:ext>
                      </a:extLst>
                    </pic:cNvPr>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5070" cy="342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E56">
        <w:rPr>
          <w:noProof/>
          <w:lang w:eastAsia="nb-NO"/>
        </w:rPr>
        <mc:AlternateContent>
          <mc:Choice Requires="wps">
            <w:drawing>
              <wp:anchor distT="0" distB="0" distL="114300" distR="114300" simplePos="0" relativeHeight="251660288" behindDoc="0" locked="0" layoutInCell="1" allowOverlap="1" wp14:anchorId="45A78AE8" wp14:editId="4788BEEC">
                <wp:simplePos x="0" y="0"/>
                <wp:positionH relativeFrom="column">
                  <wp:posOffset>3474720</wp:posOffset>
                </wp:positionH>
                <wp:positionV relativeFrom="paragraph">
                  <wp:posOffset>3482340</wp:posOffset>
                </wp:positionV>
                <wp:extent cx="2284730" cy="63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2284730" cy="635"/>
                        </a:xfrm>
                        <a:prstGeom prst="rect">
                          <a:avLst/>
                        </a:prstGeom>
                        <a:solidFill>
                          <a:prstClr val="white"/>
                        </a:solidFill>
                        <a:ln>
                          <a:noFill/>
                        </a:ln>
                        <a:effectLst/>
                      </wps:spPr>
                      <wps:txbx>
                        <w:txbxContent>
                          <w:p w14:paraId="71BA6733" w14:textId="77777777" w:rsidR="00B27E56" w:rsidRPr="00CE0CD4" w:rsidRDefault="00B27E56" w:rsidP="00B27E56">
                            <w:pPr>
                              <w:pStyle w:val="Bildetekst"/>
                              <w:rPr>
                                <w:noProof/>
                              </w:rPr>
                            </w:pPr>
                            <w:r>
                              <w:t xml:space="preserve">Figur </w:t>
                            </w:r>
                            <w:r w:rsidR="004451AF">
                              <w:rPr>
                                <w:noProof/>
                              </w:rPr>
                              <w:fldChar w:fldCharType="begin"/>
                            </w:r>
                            <w:r w:rsidR="004451AF">
                              <w:rPr>
                                <w:noProof/>
                              </w:rPr>
                              <w:instrText xml:space="preserve"> SEQ Figur \* ARABIC </w:instrText>
                            </w:r>
                            <w:r w:rsidR="004451AF">
                              <w:rPr>
                                <w:noProof/>
                              </w:rPr>
                              <w:fldChar w:fldCharType="separate"/>
                            </w:r>
                            <w:r w:rsidR="007A7AFB">
                              <w:rPr>
                                <w:noProof/>
                              </w:rPr>
                              <w:t>1</w:t>
                            </w:r>
                            <w:r w:rsidR="004451AF">
                              <w:rPr>
                                <w:noProof/>
                              </w:rPr>
                              <w:fldChar w:fldCharType="end"/>
                            </w:r>
                            <w:r>
                              <w:t>: Kart over programområdet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A38644" id="_x0000_t202" coordsize="21600,21600" o:spt="202" path="m,l,21600r21600,l21600,xe">
                <v:stroke joinstyle="miter"/>
                <v:path gradientshapeok="t" o:connecttype="rect"/>
              </v:shapetype>
              <v:shape id="Tekstboks 1" o:spid="_x0000_s1026" type="#_x0000_t202" style="position:absolute;margin-left:273.6pt;margin-top:274.2pt;width:179.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iDMgIAAGwEAAAOAAAAZHJzL2Uyb0RvYy54bWysVMFu2zAMvQ/YPwi6L07SrSuCOEWWIsOA&#10;oC2QDD0rshwblURNYmJnXz9KttOu22nYRaHIZ1J8j8z8tjWanZQPNdicT0ZjzpSVUNT2kPPvu/WH&#10;G84CClsIDVbl/KwCv128fzdv3ExNoQJdKM8oiQ2zxuW8QnSzLAuyUkaEEThlKViCNwLp6g9Z4UVD&#10;2Y3OpuPxddaAL5wHqUIg710X5IuUvyyVxIeyDAqZzjm9DdPp07mPZ7aYi9nBC1fVsn+G+IdXGFFb&#10;KnpJdSdQsKOv/0hlaukhQIkjCSaDsqylSj1QN5Pxm262lXAq9ULkBHehKfy/tPL+9OhZXZB2nFlh&#10;SKKdeg64h+fAJpGexoUZobaOcNh+gTZCe38gZ+y6Lb2Jv9QPozgRfb6Qq1pkkpzT6c3Hz1cUkhS7&#10;vvoUc2Qvnzof8KsCw6KRc0/KJULFaROwgw6QWCmArot1rXW8xMBKe3YSpHJT1aj65L+htI1YC/Gr&#10;LmHnUWlM+iqx266raGG7b/tW91CciQEP3QgFJ9c1ld2IgI/C08xQZ7QH+EBHqaHJOfQWZxX4n3/z&#10;RzxJSVHOGprBnIcfR+EVZ/qbJZHjwA6GH4z9YNijWQE1TMLRa5JJH3jUg1l6ME+0HstYhULCSqqV&#10;cxzMFXabQOsl1XKZQDSWTuDGbp2MqQd6d+2T8K4XB0nTeximU8zeaNRhk0pueUQiPAkYCe1YJOHj&#10;hUY6jUC/fnFnXt8T6uVPYvELAAD//wMAUEsDBBQABgAIAAAAIQC3qnOU4QAAAAsBAAAPAAAAZHJz&#10;L2Rvd25yZXYueG1sTI/NTsMwEITvSLyDtUhcEHUo6Q8hTlVVcIBLReiFmxtv40C8jmKnDW/Plgvc&#10;dndGs9/kq9G14oh9aDwpuJskIJAqbxqqFezen2+XIELUZHTrCRV8Y4BVcXmR68z4E73hsYy14BAK&#10;mVZgY+wyKUNl0ekw8R0SawffOx157Wtpen3icNfKaZLMpdMN8QerO9xYrL7KwSnYph9bezMcnl7X&#10;6X3/shs288+6VOr6alw/gog4xj8znPEZHQpm2vuBTBCtglm6mLL1PCxTEOx4SBbcbv97mYEscvm/&#10;Q/EDAAD//wMAUEsBAi0AFAAGAAgAAAAhALaDOJL+AAAA4QEAABMAAAAAAAAAAAAAAAAAAAAAAFtD&#10;b250ZW50X1R5cGVzXS54bWxQSwECLQAUAAYACAAAACEAOP0h/9YAAACUAQAACwAAAAAAAAAAAAAA&#10;AAAvAQAAX3JlbHMvLnJlbHNQSwECLQAUAAYACAAAACEAdgyYgzICAABsBAAADgAAAAAAAAAAAAAA&#10;AAAuAgAAZHJzL2Uyb0RvYy54bWxQSwECLQAUAAYACAAAACEAt6pzlOEAAAALAQAADwAAAAAAAAAA&#10;AAAAAACMBAAAZHJzL2Rvd25yZXYueG1sUEsFBgAAAAAEAAQA8wAAAJoFAAAAAA==&#10;" stroked="f">
                <v:textbox style="mso-fit-shape-to-text:t" inset="0,0,0,0">
                  <w:txbxContent>
                    <w:p w:rsidR="00B27E56" w:rsidRPr="00CE0CD4" w:rsidRDefault="00B27E56" w:rsidP="00B27E56">
                      <w:pPr>
                        <w:pStyle w:val="Bildetekst"/>
                        <w:rPr>
                          <w:noProof/>
                        </w:rPr>
                      </w:pPr>
                      <w:r>
                        <w:t xml:space="preserve">Figur </w:t>
                      </w:r>
                      <w:r w:rsidR="004451AF">
                        <w:rPr>
                          <w:noProof/>
                        </w:rPr>
                        <w:fldChar w:fldCharType="begin"/>
                      </w:r>
                      <w:r w:rsidR="004451AF">
                        <w:rPr>
                          <w:noProof/>
                        </w:rPr>
                        <w:instrText xml:space="preserve"> SEQ Figur \* ARABIC </w:instrText>
                      </w:r>
                      <w:r w:rsidR="004451AF">
                        <w:rPr>
                          <w:noProof/>
                        </w:rPr>
                        <w:fldChar w:fldCharType="separate"/>
                      </w:r>
                      <w:r w:rsidR="007A7AFB">
                        <w:rPr>
                          <w:noProof/>
                        </w:rPr>
                        <w:t>1</w:t>
                      </w:r>
                      <w:r w:rsidR="004451AF">
                        <w:rPr>
                          <w:noProof/>
                        </w:rPr>
                        <w:fldChar w:fldCharType="end"/>
                      </w:r>
                      <w:r>
                        <w:t>: Kart over programområdet</w:t>
                      </w:r>
                    </w:p>
                  </w:txbxContent>
                </v:textbox>
                <w10:wrap type="square"/>
              </v:shape>
            </w:pict>
          </mc:Fallback>
        </mc:AlternateContent>
      </w:r>
      <w:r w:rsidR="004E005B" w:rsidRPr="00455A54">
        <w:t xml:space="preserve">Interreg-programmene gir </w:t>
      </w:r>
      <w:r w:rsidR="004E005B" w:rsidRPr="00455A54">
        <w:rPr>
          <w:rStyle w:val="Sterk"/>
          <w:b w:val="0"/>
        </w:rPr>
        <w:t>økonomisk støtte til samarbeidsprosjekter</w:t>
      </w:r>
      <w:r w:rsidR="004E005B" w:rsidRPr="00455A54">
        <w:rPr>
          <w:rStyle w:val="Sterk"/>
        </w:rPr>
        <w:t xml:space="preserve"> </w:t>
      </w:r>
      <w:r w:rsidR="004E005B" w:rsidRPr="00455A54">
        <w:t>innenfor programmenes geografi og innsatsområder. Både offentlig</w:t>
      </w:r>
      <w:r w:rsidR="0021309C">
        <w:t>e</w:t>
      </w:r>
      <w:r w:rsidR="004E005B" w:rsidRPr="00455A54">
        <w:t xml:space="preserve"> virksomhet</w:t>
      </w:r>
      <w:r w:rsidR="0021309C">
        <w:t>er</w:t>
      </w:r>
      <w:r w:rsidR="004E005B" w:rsidRPr="00455A54">
        <w:t xml:space="preserve"> og organisasjoner</w:t>
      </w:r>
      <w:r w:rsidR="0021309C">
        <w:t xml:space="preserve"> kan søke. Eksempler er</w:t>
      </w:r>
      <w:r w:rsidR="004E005B" w:rsidRPr="00455A54">
        <w:t xml:space="preserve"> kommuner og fylkeskommuner, universitet og høgskoler, forskningsinstitusjoner, nærings- og arbeidslivsorganisasjoner, bransjeorganisasjoner og statlige myndigheter. Også </w:t>
      </w:r>
      <w:r w:rsidR="004E005B" w:rsidRPr="00455A54">
        <w:rPr>
          <w:rStyle w:val="Sterk"/>
          <w:b w:val="0"/>
        </w:rPr>
        <w:t>private bedrifter kan delta som prosjektpartnere</w:t>
      </w:r>
      <w:r w:rsidR="004E005B" w:rsidRPr="00455A54">
        <w:rPr>
          <w:rStyle w:val="Sterk"/>
        </w:rPr>
        <w:t xml:space="preserve"> </w:t>
      </w:r>
      <w:r w:rsidR="004E005B" w:rsidRPr="00455A54">
        <w:t>i flere av programmene</w:t>
      </w:r>
      <w:r w:rsidR="004E005B" w:rsidRPr="00455A54">
        <w:rPr>
          <w:rStyle w:val="Sterk"/>
        </w:rPr>
        <w:t>.</w:t>
      </w:r>
      <w:r w:rsidR="00471BB9" w:rsidRPr="00455A54">
        <w:t xml:space="preserve"> </w:t>
      </w:r>
    </w:p>
    <w:p w14:paraId="1A98A94F" w14:textId="77777777" w:rsidR="003F2107" w:rsidRPr="00F4067A" w:rsidRDefault="00AF4C7F">
      <w:pPr>
        <w:rPr>
          <w:rFonts w:cstheme="minorHAnsi"/>
        </w:rPr>
      </w:pPr>
      <w:r>
        <w:t>Interreg Aurora e</w:t>
      </w:r>
      <w:r w:rsidR="00237288">
        <w:t xml:space="preserve">r et program som </w:t>
      </w:r>
      <w:r w:rsidR="004345B3">
        <w:t>skal fremme samarbeid mellom landegrensene i Norge, Sverige og Finland</w:t>
      </w:r>
      <w:r w:rsidR="000E160F">
        <w:t>. Programmet</w:t>
      </w:r>
      <w:r w:rsidR="00B02583">
        <w:t xml:space="preserve"> </w:t>
      </w:r>
      <w:r w:rsidR="000E11B7">
        <w:t>skal</w:t>
      </w:r>
      <w:r w:rsidR="000E160F">
        <w:t xml:space="preserve"> også</w:t>
      </w:r>
      <w:r w:rsidR="000E11B7">
        <w:t xml:space="preserve"> frem</w:t>
      </w:r>
      <w:r w:rsidR="000E160F">
        <w:t>me samisk samarbeid på tvers av landegrensene</w:t>
      </w:r>
      <w:r w:rsidR="005E7A18">
        <w:t>. Geograf</w:t>
      </w:r>
      <w:r w:rsidR="009722F8">
        <w:t xml:space="preserve">isk har Interreg Aurora en </w:t>
      </w:r>
      <w:r w:rsidR="000E160F">
        <w:t>stor</w:t>
      </w:r>
      <w:r w:rsidR="009722F8">
        <w:t xml:space="preserve"> utstrekning med et programområde på ca. 570 000km</w:t>
      </w:r>
      <w:r w:rsidR="000E160F">
        <w:rPr>
          <w:rFonts w:cstheme="minorHAnsi"/>
        </w:rPr>
        <w:t>². På n</w:t>
      </w:r>
      <w:r w:rsidR="00E5098C">
        <w:rPr>
          <w:rFonts w:cstheme="minorHAnsi"/>
        </w:rPr>
        <w:t xml:space="preserve">orsk side er det </w:t>
      </w:r>
      <w:r w:rsidR="00E13873">
        <w:rPr>
          <w:rFonts w:cstheme="minorHAnsi"/>
        </w:rPr>
        <w:t>fylkene</w:t>
      </w:r>
      <w:r w:rsidR="00E5098C">
        <w:rPr>
          <w:rFonts w:cstheme="minorHAnsi"/>
        </w:rPr>
        <w:t xml:space="preserve"> Troms </w:t>
      </w:r>
      <w:r w:rsidR="00E13873">
        <w:rPr>
          <w:rFonts w:cstheme="minorHAnsi"/>
        </w:rPr>
        <w:t>o</w:t>
      </w:r>
      <w:r w:rsidR="00E5098C">
        <w:rPr>
          <w:rFonts w:cstheme="minorHAnsi"/>
        </w:rPr>
        <w:t>g Finnmark og Nordland som er med i Interreg Aurora</w:t>
      </w:r>
      <w:r w:rsidR="00F4067A">
        <w:rPr>
          <w:rFonts w:cstheme="minorHAnsi"/>
        </w:rPr>
        <w:t>. I tillegg har s</w:t>
      </w:r>
      <w:r w:rsidR="000E160F">
        <w:rPr>
          <w:rFonts w:cstheme="minorHAnsi"/>
        </w:rPr>
        <w:t>amiske prosjekter, definert av det såkalte delområde</w:t>
      </w:r>
      <w:r w:rsidR="00E5098C">
        <w:rPr>
          <w:rFonts w:cstheme="minorHAnsi"/>
        </w:rPr>
        <w:t xml:space="preserve"> Sápmi</w:t>
      </w:r>
      <w:r w:rsidR="00E13873">
        <w:rPr>
          <w:rFonts w:cstheme="minorHAnsi"/>
        </w:rPr>
        <w:t>,</w:t>
      </w:r>
      <w:r w:rsidR="00E5098C">
        <w:rPr>
          <w:rFonts w:cstheme="minorHAnsi"/>
        </w:rPr>
        <w:t xml:space="preserve"> en </w:t>
      </w:r>
      <w:r w:rsidR="00F4067A">
        <w:rPr>
          <w:rFonts w:cstheme="minorHAnsi"/>
        </w:rPr>
        <w:t xml:space="preserve">enda </w:t>
      </w:r>
      <w:r w:rsidR="00E5098C">
        <w:rPr>
          <w:rFonts w:cstheme="minorHAnsi"/>
        </w:rPr>
        <w:t>st</w:t>
      </w:r>
      <w:r w:rsidR="000E160F">
        <w:rPr>
          <w:rFonts w:cstheme="minorHAnsi"/>
        </w:rPr>
        <w:t>ørre geografisk utstrekning. D</w:t>
      </w:r>
      <w:r w:rsidR="00F4067A">
        <w:rPr>
          <w:rFonts w:cstheme="minorHAnsi"/>
        </w:rPr>
        <w:t>elområdet for samiske prosjekter o</w:t>
      </w:r>
      <w:r w:rsidR="0019757D">
        <w:rPr>
          <w:rFonts w:cstheme="minorHAnsi"/>
        </w:rPr>
        <w:t>mfatter</w:t>
      </w:r>
      <w:r w:rsidR="000E160F">
        <w:rPr>
          <w:rFonts w:cstheme="minorHAnsi"/>
        </w:rPr>
        <w:t xml:space="preserve"> også</w:t>
      </w:r>
      <w:r w:rsidR="00E13873">
        <w:rPr>
          <w:rFonts w:cstheme="minorHAnsi"/>
        </w:rPr>
        <w:t xml:space="preserve"> Trøndelag</w:t>
      </w:r>
      <w:r w:rsidR="0019757D">
        <w:rPr>
          <w:rFonts w:cstheme="minorHAnsi"/>
        </w:rPr>
        <w:t xml:space="preserve"> og Elgå </w:t>
      </w:r>
      <w:r w:rsidR="0019757D" w:rsidRPr="00F4067A">
        <w:rPr>
          <w:rFonts w:cstheme="minorHAnsi"/>
        </w:rPr>
        <w:t>reinbeitedistrikt</w:t>
      </w:r>
      <w:r w:rsidR="0019757D">
        <w:rPr>
          <w:rFonts w:cstheme="minorHAnsi"/>
        </w:rPr>
        <w:t xml:space="preserve">. </w:t>
      </w:r>
      <w:r w:rsidR="00523C24">
        <w:rPr>
          <w:rFonts w:cstheme="minorHAnsi"/>
        </w:rPr>
        <w:t xml:space="preserve">Det er </w:t>
      </w:r>
      <w:r w:rsidR="0084382A">
        <w:rPr>
          <w:rFonts w:cstheme="minorHAnsi"/>
        </w:rPr>
        <w:t>et eget underbudsjett</w:t>
      </w:r>
      <w:r w:rsidR="00523C24">
        <w:rPr>
          <w:rFonts w:cstheme="minorHAnsi"/>
        </w:rPr>
        <w:t xml:space="preserve"> for samiske prosjekter</w:t>
      </w:r>
      <w:r w:rsidR="0084382A">
        <w:rPr>
          <w:rFonts w:cstheme="minorHAnsi"/>
        </w:rPr>
        <w:t xml:space="preserve">, </w:t>
      </w:r>
      <w:r w:rsidR="00523C24">
        <w:rPr>
          <w:rFonts w:cstheme="minorHAnsi"/>
        </w:rPr>
        <w:t>og det</w:t>
      </w:r>
      <w:r w:rsidR="0084382A">
        <w:rPr>
          <w:rFonts w:cstheme="minorHAnsi"/>
        </w:rPr>
        <w:t xml:space="preserve"> er bevilget egne </w:t>
      </w:r>
      <w:r w:rsidR="0084382A" w:rsidRPr="00F4067A">
        <w:rPr>
          <w:rFonts w:cstheme="minorHAnsi"/>
        </w:rPr>
        <w:t>øremerkede midler</w:t>
      </w:r>
      <w:r w:rsidR="00523C24" w:rsidRPr="00F4067A">
        <w:rPr>
          <w:rFonts w:cstheme="minorHAnsi"/>
        </w:rPr>
        <w:t xml:space="preserve"> dit</w:t>
      </w:r>
      <w:r w:rsidR="0084382A" w:rsidRPr="00F4067A">
        <w:rPr>
          <w:rFonts w:cstheme="minorHAnsi"/>
        </w:rPr>
        <w:t xml:space="preserve"> både fra norske myndigheter og EU. </w:t>
      </w:r>
    </w:p>
    <w:p w14:paraId="6DA3F46B" w14:textId="77777777" w:rsidR="009A62C0" w:rsidRPr="00F4067A" w:rsidRDefault="00C17B2E">
      <w:pPr>
        <w:rPr>
          <w:rFonts w:cstheme="minorHAnsi"/>
        </w:rPr>
      </w:pPr>
      <w:r w:rsidRPr="00F4067A">
        <w:rPr>
          <w:rFonts w:cstheme="minorHAnsi"/>
        </w:rPr>
        <w:t xml:space="preserve">Muligheten for å søke støtte til samiske prosjekter har vært tilstede også i tidligere programperioder. Tidligere har ansvaret for mobilisering og saksbehandling av samiske søknader vært lagt til fylkeskommunene, mens i </w:t>
      </w:r>
      <w:r w:rsidR="009F0DA1" w:rsidRPr="00F4067A">
        <w:rPr>
          <w:rFonts w:cstheme="minorHAnsi"/>
        </w:rPr>
        <w:t>kommende</w:t>
      </w:r>
      <w:r w:rsidRPr="00F4067A">
        <w:rPr>
          <w:rFonts w:cstheme="minorHAnsi"/>
        </w:rPr>
        <w:t xml:space="preserve"> </w:t>
      </w:r>
      <w:r w:rsidR="009F0DA1" w:rsidRPr="00F4067A">
        <w:rPr>
          <w:rFonts w:cstheme="minorHAnsi"/>
        </w:rPr>
        <w:t>periode</w:t>
      </w:r>
      <w:r w:rsidRPr="00F4067A">
        <w:rPr>
          <w:rFonts w:cstheme="minorHAnsi"/>
        </w:rPr>
        <w:t xml:space="preserve"> </w:t>
      </w:r>
      <w:r w:rsidR="00B91AE7" w:rsidRPr="00F4067A">
        <w:rPr>
          <w:rFonts w:cstheme="minorHAnsi"/>
        </w:rPr>
        <w:t>ligger</w:t>
      </w:r>
      <w:r w:rsidRPr="00F4067A">
        <w:rPr>
          <w:rFonts w:cstheme="minorHAnsi"/>
        </w:rPr>
        <w:t xml:space="preserve"> </w:t>
      </w:r>
      <w:r w:rsidR="00B91AE7" w:rsidRPr="00F4067A">
        <w:rPr>
          <w:rFonts w:cstheme="minorHAnsi"/>
        </w:rPr>
        <w:t>ansvaret for dette</w:t>
      </w:r>
      <w:r w:rsidRPr="00F4067A">
        <w:rPr>
          <w:rFonts w:cstheme="minorHAnsi"/>
        </w:rPr>
        <w:t xml:space="preserve"> til Sametinget. </w:t>
      </w:r>
      <w:r w:rsidR="00B91AE7" w:rsidRPr="00F4067A">
        <w:rPr>
          <w:rFonts w:cstheme="minorHAnsi"/>
        </w:rPr>
        <w:t>Denne endringen</w:t>
      </w:r>
      <w:r w:rsidRPr="00F4067A">
        <w:rPr>
          <w:rFonts w:cstheme="minorHAnsi"/>
        </w:rPr>
        <w:t xml:space="preserve"> medfører økt ansvar og arbeidsmengde for Sametingets administrasjon, men </w:t>
      </w:r>
      <w:r w:rsidR="009A62C0" w:rsidRPr="00F4067A">
        <w:rPr>
          <w:rFonts w:cstheme="minorHAnsi"/>
        </w:rPr>
        <w:t xml:space="preserve">gir </w:t>
      </w:r>
      <w:r w:rsidRPr="00F4067A">
        <w:rPr>
          <w:rFonts w:cstheme="minorHAnsi"/>
        </w:rPr>
        <w:t xml:space="preserve">også økte muligheter til å påvirke </w:t>
      </w:r>
      <w:r w:rsidR="009A62C0" w:rsidRPr="00F4067A">
        <w:rPr>
          <w:rFonts w:cstheme="minorHAnsi"/>
        </w:rPr>
        <w:t xml:space="preserve">at mulighetene som ligger i Interreg-midlene utnyttes og kommer det samiske samfunnet til gode. </w:t>
      </w:r>
    </w:p>
    <w:p w14:paraId="45E499F7" w14:textId="77777777" w:rsidR="00A8467B" w:rsidRDefault="00E13873">
      <w:pPr>
        <w:rPr>
          <w:rFonts w:cstheme="minorHAnsi"/>
        </w:rPr>
      </w:pPr>
      <w:r>
        <w:rPr>
          <w:rFonts w:cstheme="minorHAnsi"/>
        </w:rPr>
        <w:t>Interreg-</w:t>
      </w:r>
      <w:r w:rsidR="001F5DDD">
        <w:rPr>
          <w:rFonts w:cstheme="minorHAnsi"/>
        </w:rPr>
        <w:t xml:space="preserve">prosjekter som gjennomføres må </w:t>
      </w:r>
      <w:r w:rsidR="00A1114A">
        <w:rPr>
          <w:rFonts w:cstheme="minorHAnsi"/>
        </w:rPr>
        <w:t xml:space="preserve">vise til en tydelig grenseoverskridende aktivitet og </w:t>
      </w:r>
      <w:r w:rsidR="009718CA">
        <w:rPr>
          <w:rFonts w:cstheme="minorHAnsi"/>
        </w:rPr>
        <w:t>gi</w:t>
      </w:r>
      <w:r w:rsidR="00A1114A">
        <w:rPr>
          <w:rFonts w:cstheme="minorHAnsi"/>
        </w:rPr>
        <w:t xml:space="preserve"> </w:t>
      </w:r>
      <w:r w:rsidR="009718CA">
        <w:rPr>
          <w:rFonts w:cstheme="minorHAnsi"/>
        </w:rPr>
        <w:t>en effekt for minst ett</w:t>
      </w:r>
      <w:r w:rsidR="00A1114A">
        <w:rPr>
          <w:rFonts w:cstheme="minorHAnsi"/>
        </w:rPr>
        <w:t xml:space="preserve"> av innsatsområdene. Det er også et krav om at prosjektet skal ha deltakelse fra minimum to land i prosjektområdet til Interreg Aurora. </w:t>
      </w:r>
    </w:p>
    <w:p w14:paraId="6DF3848D" w14:textId="77777777" w:rsidR="00C9570C" w:rsidRDefault="00B901A3">
      <w:r>
        <w:t xml:space="preserve">Det er </w:t>
      </w:r>
      <w:r w:rsidR="00042EA4">
        <w:t>fire innsatsområder i Interreg Aurora for kommende periode</w:t>
      </w:r>
      <w:r w:rsidR="009718CA">
        <w:t>:</w:t>
      </w:r>
    </w:p>
    <w:p w14:paraId="3230FDAD" w14:textId="77777777" w:rsidR="00C9570C" w:rsidRDefault="00C9570C" w:rsidP="00C9570C">
      <w:pPr>
        <w:pStyle w:val="Listeavsnitt"/>
        <w:numPr>
          <w:ilvl w:val="0"/>
          <w:numId w:val="1"/>
        </w:numPr>
      </w:pPr>
      <w:r>
        <w:t>En smartere Europa</w:t>
      </w:r>
    </w:p>
    <w:p w14:paraId="1C80916B" w14:textId="77777777" w:rsidR="00C9570C" w:rsidRDefault="00C9570C" w:rsidP="00C9570C">
      <w:pPr>
        <w:pStyle w:val="Listeavsnitt"/>
        <w:numPr>
          <w:ilvl w:val="0"/>
          <w:numId w:val="1"/>
        </w:numPr>
      </w:pPr>
      <w:r>
        <w:t xml:space="preserve">Et grønnere Europa </w:t>
      </w:r>
    </w:p>
    <w:p w14:paraId="0B5778DC" w14:textId="77777777" w:rsidR="00C9570C" w:rsidRDefault="00C9570C" w:rsidP="00C9570C">
      <w:pPr>
        <w:pStyle w:val="Listeavsnitt"/>
        <w:numPr>
          <w:ilvl w:val="0"/>
          <w:numId w:val="1"/>
        </w:numPr>
      </w:pPr>
      <w:r>
        <w:lastRenderedPageBreak/>
        <w:t xml:space="preserve">Et mer sosialt Europa </w:t>
      </w:r>
    </w:p>
    <w:p w14:paraId="35C4523C" w14:textId="77777777" w:rsidR="00C9570C" w:rsidRDefault="00C9570C" w:rsidP="00C9570C">
      <w:pPr>
        <w:pStyle w:val="Listeavsnitt"/>
        <w:numPr>
          <w:ilvl w:val="0"/>
          <w:numId w:val="1"/>
        </w:numPr>
      </w:pPr>
      <w:r>
        <w:t>Bedre Interreg styring</w:t>
      </w:r>
    </w:p>
    <w:p w14:paraId="4793981F" w14:textId="77777777" w:rsidR="004867A9" w:rsidRDefault="007C602B" w:rsidP="00C9570C">
      <w:r>
        <w:t>Innenfor disse 4 ulike innsatsområdene kan det gjennomføres pr</w:t>
      </w:r>
      <w:r w:rsidR="009718CA">
        <w:t>osjekter, også prosjekter med sa</w:t>
      </w:r>
      <w:r>
        <w:t>misk innhold</w:t>
      </w:r>
      <w:r w:rsidR="00E0077C">
        <w:t xml:space="preserve">. </w:t>
      </w:r>
    </w:p>
    <w:p w14:paraId="043FAC51" w14:textId="77777777" w:rsidR="00B901A3" w:rsidRDefault="00E0077C" w:rsidP="00C9570C">
      <w:r>
        <w:t xml:space="preserve">I innsatsområde 1, En Smartere Europa, kan det gjennomføres </w:t>
      </w:r>
      <w:r w:rsidR="004867A9">
        <w:t>prosjekter innenfor forskning, innovasjo</w:t>
      </w:r>
      <w:r w:rsidR="00C602B8">
        <w:t xml:space="preserve">n og bedriftsutvikling. </w:t>
      </w:r>
      <w:r w:rsidR="00C17B2E">
        <w:t>Den viktigste endringen i innsatsområdet</w:t>
      </w:r>
      <w:r w:rsidR="003B6D0A">
        <w:t xml:space="preserve"> i fra den forrige programperioden er at små og mellomstore bedrifter skal få en større mulighet til å søke prosjekter innenfor dette innsatsområdet. </w:t>
      </w:r>
    </w:p>
    <w:p w14:paraId="19C244BE" w14:textId="77777777" w:rsidR="00C93A61" w:rsidRDefault="00C93A61" w:rsidP="00C9570C">
      <w:r>
        <w:t>I</w:t>
      </w:r>
      <w:r w:rsidR="00523C24">
        <w:t xml:space="preserve"> i</w:t>
      </w:r>
      <w:r>
        <w:t>nnsatsområde 2, et grønnere Europa, kan det gjennomføre</w:t>
      </w:r>
      <w:r w:rsidR="008747BF">
        <w:t>s</w:t>
      </w:r>
      <w:r w:rsidR="00C91BED">
        <w:t xml:space="preserve"> prosjekter innen </w:t>
      </w:r>
      <w:r w:rsidR="00397C8D">
        <w:t xml:space="preserve">klimatilpasning og risikoforebyggende tiltak for fremtidige klimaendringer, prosjekter som fremmer biodiversitet og grønn infrastruktur. </w:t>
      </w:r>
    </w:p>
    <w:p w14:paraId="4CD3F208" w14:textId="77777777" w:rsidR="00397C8D" w:rsidRDefault="00397C8D" w:rsidP="00C9570C">
      <w:r>
        <w:t>I</w:t>
      </w:r>
      <w:r w:rsidR="00523C24">
        <w:t xml:space="preserve"> i</w:t>
      </w:r>
      <w:r>
        <w:t xml:space="preserve">nnsatsområde 3, Et mer sosialt Europa, </w:t>
      </w:r>
      <w:r w:rsidR="00E348C0">
        <w:t xml:space="preserve">kan det gjennomføres prosjekter innen utdanning, opplæring, kultur og språk. </w:t>
      </w:r>
    </w:p>
    <w:p w14:paraId="79F901E8" w14:textId="77777777" w:rsidR="00E348C0" w:rsidRDefault="00E348C0" w:rsidP="00C9570C">
      <w:r>
        <w:t xml:space="preserve">I innsatsområde 4, bedre </w:t>
      </w:r>
      <w:r w:rsidR="002B6692">
        <w:t>Interreg</w:t>
      </w:r>
      <w:r w:rsidR="007E5473">
        <w:t>-</w:t>
      </w:r>
      <w:r>
        <w:t>styring,</w:t>
      </w:r>
      <w:r w:rsidR="00B5470D">
        <w:t xml:space="preserve"> kan det gjennomføres </w:t>
      </w:r>
      <w:r w:rsidR="005C1A01">
        <w:t>prosjekter som bidrar til å bygge tillit og samarbeid på tvers av landegrensene,</w:t>
      </w:r>
      <w:r w:rsidR="0039780D">
        <w:t xml:space="preserve"> som for eksempel folk til folk-</w:t>
      </w:r>
      <w:r w:rsidR="005C1A01">
        <w:t xml:space="preserve">samarbeid. </w:t>
      </w:r>
    </w:p>
    <w:p w14:paraId="60CB1BCA" w14:textId="77777777" w:rsidR="005C1A01" w:rsidRDefault="005C1A01" w:rsidP="00C9570C"/>
    <w:p w14:paraId="6AF5ED9F" w14:textId="77777777" w:rsidR="00397C8D" w:rsidRDefault="008E3393" w:rsidP="00C9570C">
      <w:r>
        <w:t xml:space="preserve">Sametinget i Norge har i samarbeid med Sametingene i Sverige </w:t>
      </w:r>
      <w:r w:rsidR="00E25FD4">
        <w:t xml:space="preserve">og Finland vært med på å utarbeide </w:t>
      </w:r>
      <w:r>
        <w:t>programmet,</w:t>
      </w:r>
      <w:r w:rsidR="00615686">
        <w:t xml:space="preserve"> og har sikret at det samiske innholdet i programmet blir ivaretatt</w:t>
      </w:r>
      <w:r w:rsidR="00445174">
        <w:t xml:space="preserve">, </w:t>
      </w:r>
      <w:r w:rsidR="0039780D">
        <w:t>samt</w:t>
      </w:r>
      <w:r w:rsidR="00445174">
        <w:t xml:space="preserve"> at erfaringene fra forrige programperiode ble hensyntatt i utarbeidelsen av Interreg Aurora. </w:t>
      </w:r>
      <w:r w:rsidR="00E47D5C">
        <w:t>Det er blitt gje</w:t>
      </w:r>
      <w:r w:rsidR="0039780D">
        <w:t>nnomført to digitale samlinger. Der kunne</w:t>
      </w:r>
      <w:r w:rsidR="00E47D5C">
        <w:t xml:space="preserve"> ulike aktører komme med innspill til arbeidet, her ble samiske aktører også invi</w:t>
      </w:r>
      <w:r w:rsidR="00DC55E7">
        <w:t>tert.</w:t>
      </w:r>
      <w:r w:rsidR="00316C44">
        <w:t xml:space="preserve"> </w:t>
      </w:r>
      <w:r w:rsidR="0039780D">
        <w:t>I tillegg</w:t>
      </w:r>
      <w:r w:rsidR="00316C44">
        <w:t xml:space="preserve"> ble</w:t>
      </w:r>
      <w:r w:rsidR="0039780D">
        <w:t xml:space="preserve"> det</w:t>
      </w:r>
      <w:r w:rsidR="00316C44">
        <w:t xml:space="preserve"> gjennomført en spørreundersøkels</w:t>
      </w:r>
      <w:r w:rsidR="0039780D">
        <w:t>e i forbindelse med arbeidet. A</w:t>
      </w:r>
      <w:r w:rsidR="00316C44">
        <w:t>rbeidet har</w:t>
      </w:r>
      <w:r w:rsidR="00DC55E7">
        <w:t xml:space="preserve"> vært ute på høring, hvor høringen ble publisert på ulike nettsider, inkludert Sametingets sine nettsider.</w:t>
      </w:r>
    </w:p>
    <w:p w14:paraId="77A9D369" w14:textId="77777777" w:rsidR="00DA27EA" w:rsidRDefault="0039780D" w:rsidP="00C9570C">
      <w:r>
        <w:t>D</w:t>
      </w:r>
      <w:r w:rsidR="00316C44">
        <w:t>e innspill Sametinget f</w:t>
      </w:r>
      <w:r>
        <w:t xml:space="preserve">ikk i forbindelse med arbeidet </w:t>
      </w:r>
      <w:r w:rsidR="00316C44">
        <w:t>er ivaretatt i ulike de</w:t>
      </w:r>
      <w:r w:rsidR="001D6132">
        <w:t xml:space="preserve">ler av de fire innsatsområdene. </w:t>
      </w:r>
      <w:r w:rsidR="00AC5FDB">
        <w:t>E</w:t>
      </w:r>
      <w:r w:rsidR="001D6132">
        <w:t xml:space="preserve">rfaringen </w:t>
      </w:r>
      <w:r w:rsidR="00AC5FDB">
        <w:t>fra</w:t>
      </w:r>
      <w:r w:rsidR="001D6132">
        <w:t xml:space="preserve"> forrige programperiode var at mindre bedrifter </w:t>
      </w:r>
      <w:r w:rsidR="00AC5FDB">
        <w:t>og organisasjoner valgte å ikke søke I</w:t>
      </w:r>
      <w:r w:rsidR="001D6132">
        <w:t>nterreg-</w:t>
      </w:r>
      <w:r w:rsidR="00AC5FDB">
        <w:t>midler</w:t>
      </w:r>
      <w:r w:rsidR="001D6132">
        <w:t xml:space="preserve"> </w:t>
      </w:r>
      <w:r w:rsidR="00AC5FDB">
        <w:t>fordi</w:t>
      </w:r>
      <w:r w:rsidR="001D6132">
        <w:t xml:space="preserve"> </w:t>
      </w:r>
      <w:r w:rsidR="00AC5FDB">
        <w:t>prosessen</w:t>
      </w:r>
      <w:r w:rsidR="001D6132">
        <w:t xml:space="preserve"> </w:t>
      </w:r>
      <w:r w:rsidR="00870A01">
        <w:t xml:space="preserve">var </w:t>
      </w:r>
      <w:r w:rsidR="00AC5FDB">
        <w:t xml:space="preserve">for </w:t>
      </w:r>
      <w:r w:rsidR="001D6132">
        <w:t>tid</w:t>
      </w:r>
      <w:r w:rsidR="00AC5FDB">
        <w:t>-</w:t>
      </w:r>
      <w:r w:rsidR="001D6132">
        <w:t xml:space="preserve"> og ressurskrevende. </w:t>
      </w:r>
      <w:r w:rsidR="00875964">
        <w:t xml:space="preserve">Dette er forsøkt ivaretatt ved at mindre og mellomstore bedrifter er </w:t>
      </w:r>
      <w:r w:rsidR="009E49D9">
        <w:t>gitt mulighet til å søke prosjekter</w:t>
      </w:r>
      <w:r w:rsidR="00DA27EA">
        <w:t>, samt</w:t>
      </w:r>
      <w:r w:rsidR="00875964">
        <w:t xml:space="preserve"> at det er mulig å søke</w:t>
      </w:r>
      <w:r w:rsidR="00DA27EA">
        <w:t xml:space="preserve"> på</w:t>
      </w:r>
      <w:r w:rsidR="00875964">
        <w:t xml:space="preserve"> mindre </w:t>
      </w:r>
      <w:r w:rsidR="00DA27EA">
        <w:t>prosjektbeløp med lavere formalkrav til søknad og rapportering</w:t>
      </w:r>
      <w:r w:rsidR="009E49D9">
        <w:t xml:space="preserve">. </w:t>
      </w:r>
      <w:r w:rsidR="00DA27EA">
        <w:t>En a</w:t>
      </w:r>
      <w:r w:rsidR="00D03DF3">
        <w:t>nnen tilbakemelding</w:t>
      </w:r>
      <w:r w:rsidR="00DA27EA">
        <w:t xml:space="preserve"> fra forrige periode</w:t>
      </w:r>
      <w:r w:rsidR="00D03DF3">
        <w:t xml:space="preserve"> var at det var utfordrende å få </w:t>
      </w:r>
      <w:r w:rsidR="00DA27EA">
        <w:t>tilstrekkelig finansiering til</w:t>
      </w:r>
      <w:r w:rsidR="00D03DF3">
        <w:t xml:space="preserve"> samiske prosjekter, spesielt i Norge. </w:t>
      </w:r>
    </w:p>
    <w:p w14:paraId="49205DA7" w14:textId="77777777" w:rsidR="00B35101" w:rsidRDefault="006D7722" w:rsidP="00C9570C">
      <w:r>
        <w:t>I I</w:t>
      </w:r>
      <w:r w:rsidR="00F93E18">
        <w:t>nterreg</w:t>
      </w:r>
      <w:r>
        <w:t xml:space="preserve"> </w:t>
      </w:r>
      <w:r w:rsidR="00F93E18">
        <w:t>får prosjekt</w:t>
      </w:r>
      <w:r>
        <w:t xml:space="preserve">deltagere fra Sverige og Finland </w:t>
      </w:r>
      <w:r w:rsidR="00FF73C7">
        <w:t>tilskudd f</w:t>
      </w:r>
      <w:r>
        <w:t>ra EU</w:t>
      </w:r>
      <w:r w:rsidR="00FF73C7">
        <w:t>s Interreg-b</w:t>
      </w:r>
      <w:r>
        <w:t>udsjetter, mens norske deltagere</w:t>
      </w:r>
      <w:r w:rsidR="00FF73C7">
        <w:t xml:space="preserve"> får tilskudd</w:t>
      </w:r>
      <w:r>
        <w:t xml:space="preserve"> fra norske myndigheter. </w:t>
      </w:r>
      <w:r w:rsidR="00FF73C7">
        <w:t xml:space="preserve">Norske deltagere får </w:t>
      </w:r>
      <w:r w:rsidR="00F93E18">
        <w:t xml:space="preserve">noe </w:t>
      </w:r>
      <w:r w:rsidR="00FF73C7">
        <w:t>lavere finansieringsandel enn deltagere fra EU-land</w:t>
      </w:r>
      <w:r w:rsidR="00C90F9A">
        <w:t xml:space="preserve">. </w:t>
      </w:r>
      <w:r w:rsidR="00F80AE0">
        <w:t>EU finansierer inntil 65% av sine Interreg-kostnader mens norske myndigheter finansierer 50% av kostnadene. Det vil si at i</w:t>
      </w:r>
      <w:r w:rsidR="00C90F9A">
        <w:t xml:space="preserve"> EU-land</w:t>
      </w:r>
      <w:r w:rsidR="00211B9C">
        <w:t xml:space="preserve"> behøver søkerne 35% egenkapital, mens </w:t>
      </w:r>
      <w:r w:rsidR="00F80AE0">
        <w:t>i N</w:t>
      </w:r>
      <w:r w:rsidR="00211B9C">
        <w:t xml:space="preserve">orge </w:t>
      </w:r>
      <w:r w:rsidR="00C90F9A">
        <w:t>er det krav om 50% egenkapital. Dette gjø</w:t>
      </w:r>
      <w:r w:rsidR="00211B9C">
        <w:t xml:space="preserve">r </w:t>
      </w:r>
      <w:r w:rsidR="00F93E18">
        <w:t>det</w:t>
      </w:r>
      <w:r w:rsidR="00211B9C">
        <w:t xml:space="preserve"> </w:t>
      </w:r>
      <w:r>
        <w:t xml:space="preserve">generelt mer krevende å </w:t>
      </w:r>
      <w:r w:rsidR="00F93E18">
        <w:t>få finansiert prosjektdeltagelse i</w:t>
      </w:r>
      <w:r>
        <w:t xml:space="preserve"> Norge</w:t>
      </w:r>
      <w:r w:rsidR="004661B8">
        <w:t>.</w:t>
      </w:r>
      <w:r w:rsidR="00C90F9A">
        <w:t xml:space="preserve"> </w:t>
      </w:r>
      <w:r w:rsidR="004661B8">
        <w:t>S</w:t>
      </w:r>
      <w:r w:rsidR="006225F3">
        <w:t>ametinget ønsker</w:t>
      </w:r>
      <w:r w:rsidR="004661B8">
        <w:t xml:space="preserve"> derfor</w:t>
      </w:r>
      <w:r w:rsidR="006225F3">
        <w:t xml:space="preserve"> å kunne finansiere deler av egenkapitalen til de samiske </w:t>
      </w:r>
      <w:r w:rsidR="003901CA">
        <w:t>søkerne</w:t>
      </w:r>
      <w:r w:rsidR="00B35101">
        <w:t xml:space="preserve"> gjennom en egen ordning hvor samiske </w:t>
      </w:r>
      <w:r w:rsidR="004661B8">
        <w:t>Interreg-</w:t>
      </w:r>
      <w:r w:rsidR="00B35101">
        <w:t xml:space="preserve">søkere </w:t>
      </w:r>
      <w:r w:rsidR="004661B8">
        <w:t>kan søke tilskudd</w:t>
      </w:r>
      <w:r w:rsidR="00B35101">
        <w:t xml:space="preserve"> hos Sametinget</w:t>
      </w:r>
      <w:r w:rsidR="003901CA">
        <w:t>.</w:t>
      </w:r>
      <w:r w:rsidR="00B35101">
        <w:t xml:space="preserve"> </w:t>
      </w:r>
    </w:p>
    <w:p w14:paraId="79B5A8E8" w14:textId="77777777" w:rsidR="007C602B" w:rsidRDefault="007C602B" w:rsidP="00C9570C"/>
    <w:p w14:paraId="491DB2EF" w14:textId="77777777" w:rsidR="004451AF" w:rsidRDefault="007A7AFB" w:rsidP="00C9570C">
      <w:pPr>
        <w:rPr>
          <w:b/>
        </w:rPr>
      </w:pPr>
      <w:r>
        <w:rPr>
          <w:noProof/>
          <w:lang w:eastAsia="nb-NO"/>
        </w:rPr>
        <w:lastRenderedPageBreak/>
        <w:drawing>
          <wp:anchor distT="0" distB="0" distL="114300" distR="114300" simplePos="0" relativeHeight="251661312" behindDoc="1" locked="0" layoutInCell="1" allowOverlap="1" wp14:anchorId="64113900" wp14:editId="03C4A9F8">
            <wp:simplePos x="0" y="0"/>
            <wp:positionH relativeFrom="margin">
              <wp:align>left</wp:align>
            </wp:positionH>
            <wp:positionV relativeFrom="paragraph">
              <wp:posOffset>288925</wp:posOffset>
            </wp:positionV>
            <wp:extent cx="2766695" cy="2249805"/>
            <wp:effectExtent l="0" t="0" r="0" b="0"/>
            <wp:wrapTight wrapText="bothSides">
              <wp:wrapPolygon edited="0">
                <wp:start x="0" y="0"/>
                <wp:lineTo x="0" y="21399"/>
                <wp:lineTo x="21417" y="21399"/>
                <wp:lineTo x="2141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695"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02C">
        <w:rPr>
          <w:b/>
        </w:rPr>
        <w:t>Interreg-</w:t>
      </w:r>
      <w:r w:rsidR="004451AF">
        <w:rPr>
          <w:b/>
        </w:rPr>
        <w:t xml:space="preserve">organisering </w:t>
      </w:r>
    </w:p>
    <w:p w14:paraId="13664EF9" w14:textId="77777777" w:rsidR="00ED3D2A" w:rsidRDefault="007A7AFB" w:rsidP="00C9570C">
      <w:r>
        <w:rPr>
          <w:noProof/>
          <w:lang w:eastAsia="nb-NO"/>
        </w:rPr>
        <mc:AlternateContent>
          <mc:Choice Requires="wps">
            <w:drawing>
              <wp:anchor distT="0" distB="0" distL="114300" distR="114300" simplePos="0" relativeHeight="251663360" behindDoc="1" locked="0" layoutInCell="1" allowOverlap="1" wp14:anchorId="2AB930F7" wp14:editId="1D982B1B">
                <wp:simplePos x="0" y="0"/>
                <wp:positionH relativeFrom="column">
                  <wp:posOffset>-1270</wp:posOffset>
                </wp:positionH>
                <wp:positionV relativeFrom="paragraph">
                  <wp:posOffset>2187575</wp:posOffset>
                </wp:positionV>
                <wp:extent cx="2926080" cy="635"/>
                <wp:effectExtent l="0" t="0" r="0" b="0"/>
                <wp:wrapTight wrapText="bothSides">
                  <wp:wrapPolygon edited="0">
                    <wp:start x="0" y="0"/>
                    <wp:lineTo x="0" y="21600"/>
                    <wp:lineTo x="21600" y="21600"/>
                    <wp:lineTo x="21600" y="0"/>
                  </wp:wrapPolygon>
                </wp:wrapTight>
                <wp:docPr id="3" name="Tekstboks 3"/>
                <wp:cNvGraphicFramePr/>
                <a:graphic xmlns:a="http://schemas.openxmlformats.org/drawingml/2006/main">
                  <a:graphicData uri="http://schemas.microsoft.com/office/word/2010/wordprocessingShape">
                    <wps:wsp>
                      <wps:cNvSpPr txBox="1"/>
                      <wps:spPr>
                        <a:xfrm>
                          <a:off x="0" y="0"/>
                          <a:ext cx="2926080" cy="635"/>
                        </a:xfrm>
                        <a:prstGeom prst="rect">
                          <a:avLst/>
                        </a:prstGeom>
                        <a:solidFill>
                          <a:prstClr val="white"/>
                        </a:solidFill>
                        <a:ln>
                          <a:noFill/>
                        </a:ln>
                        <a:effectLst/>
                      </wps:spPr>
                      <wps:txbx>
                        <w:txbxContent>
                          <w:p w14:paraId="40F6B241" w14:textId="77777777" w:rsidR="007A7AFB" w:rsidRPr="00896599" w:rsidRDefault="007A7AFB" w:rsidP="007A7AFB">
                            <w:pPr>
                              <w:pStyle w:val="Bildetekst"/>
                              <w:rPr>
                                <w:noProof/>
                              </w:rPr>
                            </w:pPr>
                            <w:r>
                              <w:t xml:space="preserve">Figur </w:t>
                            </w:r>
                            <w:r w:rsidR="00B91AE7">
                              <w:rPr>
                                <w:noProof/>
                              </w:rPr>
                              <w:fldChar w:fldCharType="begin"/>
                            </w:r>
                            <w:r w:rsidR="00B91AE7">
                              <w:rPr>
                                <w:noProof/>
                              </w:rPr>
                              <w:instrText xml:space="preserve"> SEQ Figur \* ARABIC </w:instrText>
                            </w:r>
                            <w:r w:rsidR="00B91AE7">
                              <w:rPr>
                                <w:noProof/>
                              </w:rPr>
                              <w:fldChar w:fldCharType="separate"/>
                            </w:r>
                            <w:r>
                              <w:rPr>
                                <w:noProof/>
                              </w:rPr>
                              <w:t>2</w:t>
                            </w:r>
                            <w:r w:rsidR="00B91AE7">
                              <w:rPr>
                                <w:noProof/>
                              </w:rPr>
                              <w:fldChar w:fldCharType="end"/>
                            </w:r>
                            <w:r>
                              <w:t>: Interreg Aurora organisering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16D1B9" id="Tekstboks 3" o:spid="_x0000_s1027" type="#_x0000_t202" style="position:absolute;margin-left:-.1pt;margin-top:172.25pt;width:230.4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xKNQIAAHMEAAAOAAAAZHJzL2Uyb0RvYy54bWysVE1v2zAMvQ/YfxB0X5wPLOiMOEWWIsOA&#10;oC2QDD0rshwLlUWNUmJ3v36UHKdbt9Owi0KRFOn3HpnFbdcYdlboNdiCT0ZjzpSVUGp7LPi3/ebD&#10;DWc+CFsKA1YV/EV5frt8/27RulxNoQZTKmRUxPq8dQWvQ3B5lnlZq0b4EThlKVgBNiLQFY9ZiaKl&#10;6o3JpuPxPGsBS4cglffkveuDfJnqV5WS4aGqvArMFJy+LaQT03mIZ7ZciPyIwtVaXj5D/MNXNEJb&#10;anotdSeCYCfUf5RqtETwUIWRhCaDqtJSJQyEZjJ+g2ZXC6cSFiLHuytN/v+VlffnR2S6LPiMMysa&#10;kmivnn04wLNns0hP63xOWTtHeaH7DB3JPPg9OSPqrsIm/hIeRnEi+uVKruoCk+ScfprOxzcUkhSb&#10;zz7GGtnrU4c+fFHQsGgUHEm5RKg4b33oU4eU2MmD0eVGGxMvMbA2yM6CVG5rHdSl+G9ZxsZcC/FV&#10;X7D3qDQmly4RbY8qWqE7dImcK+IDlC9EBEI/Sd7JjabuW+HDo0AaHQJI6xAe6KgMtAWHi8VZDfjj&#10;b/6YT4pSlLOWRrHg/vtJoOLMfLWkdZzbwcDBOAyGPTVrINwTWjQnk0kPMJjBrBCaJ9qSVexCIWEl&#10;9Sp4GMx16BeCtkyq1Sol0XQ6EbZ252QsPbC8754EuotGgaS9h2FIRf5Gqj43ieVWp0C8Jx0jrz2L&#10;pH+80GSnSbhsYVydX+8p6/W/YvkTAAD//wMAUEsDBBQABgAIAAAAIQAK0bpY3wAAAAkBAAAPAAAA&#10;ZHJzL2Rvd25yZXYueG1sTI/BTsMwEETvSPyDtUhcUOvQGguFOFVVwYFeKkIv3Nx4GwfidRQ7bfh7&#10;TC9wnJ3RzNtiNbmOnXAIrScF9/MMGFLtTUuNgv37y+wRWIiajO48oYJvDLAqr68KnRt/pjc8VbFh&#10;qYRCrhXYGPuc81BbdDrMfY+UvKMfnI5JDg03gz6nctfxRZZJ7nRLacHqHjcW669qdAp24mNn78bj&#10;83YtlsPrftzIz6ZS6vZmWj8BizjFvzD84id0KBPTwY9kAusUzBYpqGApxAOw5AuZSWCHy0UCLwv+&#10;/4PyBwAA//8DAFBLAQItABQABgAIAAAAIQC2gziS/gAAAOEBAAATAAAAAAAAAAAAAAAAAAAAAABb&#10;Q29udGVudF9UeXBlc10ueG1sUEsBAi0AFAAGAAgAAAAhADj9If/WAAAAlAEAAAsAAAAAAAAAAAAA&#10;AAAALwEAAF9yZWxzLy5yZWxzUEsBAi0AFAAGAAgAAAAhAMcFbEo1AgAAcwQAAA4AAAAAAAAAAAAA&#10;AAAALgIAAGRycy9lMm9Eb2MueG1sUEsBAi0AFAAGAAgAAAAhAArRuljfAAAACQEAAA8AAAAAAAAA&#10;AAAAAAAAjwQAAGRycy9kb3ducmV2LnhtbFBLBQYAAAAABAAEAPMAAACbBQAAAAA=&#10;" stroked="f">
                <v:textbox style="mso-fit-shape-to-text:t" inset="0,0,0,0">
                  <w:txbxContent>
                    <w:p w:rsidR="007A7AFB" w:rsidRPr="00896599" w:rsidRDefault="007A7AFB" w:rsidP="007A7AFB">
                      <w:pPr>
                        <w:pStyle w:val="Bildetekst"/>
                        <w:rPr>
                          <w:noProof/>
                        </w:rPr>
                      </w:pPr>
                      <w:r>
                        <w:t xml:space="preserve">Figur </w:t>
                      </w:r>
                      <w:fldSimple w:instr=" SEQ Figur \* ARABIC ">
                        <w:r>
                          <w:rPr>
                            <w:noProof/>
                          </w:rPr>
                          <w:t>2</w:t>
                        </w:r>
                      </w:fldSimple>
                      <w:r>
                        <w:t>: Interreg Aurora organisering</w:t>
                      </w:r>
                    </w:p>
                  </w:txbxContent>
                </v:textbox>
                <w10:wrap type="tight"/>
              </v:shape>
            </w:pict>
          </mc:Fallback>
        </mc:AlternateContent>
      </w:r>
      <w:r>
        <w:t xml:space="preserve">Interreg Aurora </w:t>
      </w:r>
      <w:r w:rsidR="007905AD">
        <w:t>har en omfattende organisering, med flere ulike nivåer. I Norge er det Troms og Finnmark fyl</w:t>
      </w:r>
      <w:r w:rsidR="00A65C50">
        <w:t xml:space="preserve">keskommune som har hovedansvaret for </w:t>
      </w:r>
      <w:r w:rsidR="00452DFC">
        <w:t xml:space="preserve">Interreg Aurora i Norge og som </w:t>
      </w:r>
      <w:r w:rsidR="000A17D8">
        <w:t xml:space="preserve">rapporterer til Kommunal og moderniseringsdepartementet (KMD). </w:t>
      </w:r>
      <w:r w:rsidR="0041192B">
        <w:t xml:space="preserve">I Sverige og Finland er det </w:t>
      </w:r>
      <w:proofErr w:type="spellStart"/>
      <w:r w:rsidR="0041192B">
        <w:t>Managing</w:t>
      </w:r>
      <w:proofErr w:type="spellEnd"/>
      <w:r w:rsidR="0041192B">
        <w:t xml:space="preserve"> </w:t>
      </w:r>
      <w:proofErr w:type="spellStart"/>
      <w:r w:rsidR="0041192B">
        <w:t>Authority</w:t>
      </w:r>
      <w:proofErr w:type="spellEnd"/>
      <w:r w:rsidR="0041192B">
        <w:t xml:space="preserve"> (MA) som har denne rollen, hvor MA rapporterer til </w:t>
      </w:r>
      <w:r w:rsidR="00676A4A">
        <w:t xml:space="preserve">departementene i </w:t>
      </w:r>
      <w:r w:rsidR="00ED3D2A">
        <w:t xml:space="preserve">Finland og Sverige. </w:t>
      </w:r>
    </w:p>
    <w:p w14:paraId="56F05942" w14:textId="77777777" w:rsidR="004451AF" w:rsidRPr="004451AF" w:rsidRDefault="00ED3D2A" w:rsidP="00C9570C">
      <w:r>
        <w:t>Det er opprettet et fellessekretariat</w:t>
      </w:r>
      <w:r w:rsidR="00D3617E">
        <w:t xml:space="preserve"> hvor de</w:t>
      </w:r>
      <w:r w:rsidR="005F402C">
        <w:t xml:space="preserve"> ulike regionene som behandler I</w:t>
      </w:r>
      <w:r w:rsidR="00D3617E">
        <w:t xml:space="preserve">nterreg-søknader er med, inkludert Sametingene. </w:t>
      </w:r>
      <w:r w:rsidR="00383FEE">
        <w:t xml:space="preserve">I fellessekretariatet foregår det en faglig gjennomgang av søknadene, før søknader </w:t>
      </w:r>
      <w:r w:rsidR="00C01626">
        <w:t>sendes til s</w:t>
      </w:r>
      <w:r w:rsidR="004E5717">
        <w:t>tyringskomiteen for</w:t>
      </w:r>
      <w:r w:rsidR="0085254A">
        <w:t xml:space="preserve"> endelig</w:t>
      </w:r>
      <w:r w:rsidR="004E5717">
        <w:t xml:space="preserve"> behandling. Det er en </w:t>
      </w:r>
      <w:r w:rsidR="00C40100">
        <w:t xml:space="preserve">egen styringskomite for behandling av samiske søknader i Interreg Aurora. </w:t>
      </w:r>
      <w:r w:rsidR="007A3C6C">
        <w:t>Det er også en egen overvåkningskomite</w:t>
      </w:r>
      <w:r w:rsidR="006C63A9">
        <w:t xml:space="preserve"> som med f</w:t>
      </w:r>
      <w:r w:rsidR="00452DFC">
        <w:t>orvaltende myndighet har ansvar</w:t>
      </w:r>
      <w:r w:rsidR="006C63A9">
        <w:t xml:space="preserve"> for å sikre kvalitet og effektivitet i gjennomføring og dokumentasjon av programmets aktiviteter</w:t>
      </w:r>
      <w:r w:rsidR="005F402C">
        <w:t>.</w:t>
      </w:r>
    </w:p>
    <w:p w14:paraId="5D9D18A9" w14:textId="77777777" w:rsidR="00B27E56" w:rsidRDefault="00582B65">
      <w:r>
        <w:t>Sametinget må velge inn representanter til både styringskomiteen og overvåkningskomiteen for nest</w:t>
      </w:r>
      <w:r w:rsidR="00B84B4E">
        <w:t xml:space="preserve">e programperiode, hvor det skal velges 3 representanter med vara til </w:t>
      </w:r>
      <w:r w:rsidR="00C01626">
        <w:t>s</w:t>
      </w:r>
      <w:r w:rsidR="00B84B4E">
        <w:t xml:space="preserve">tyringskomiteen, og </w:t>
      </w:r>
      <w:r w:rsidR="005D6F49">
        <w:t>2</w:t>
      </w:r>
      <w:r w:rsidR="00B84B4E">
        <w:t xml:space="preserve"> representanter med vara til overvåkningskomiteen. </w:t>
      </w:r>
    </w:p>
    <w:p w14:paraId="6EC7E382" w14:textId="77777777" w:rsidR="0085254A" w:rsidRDefault="00144E65">
      <w:pPr>
        <w:rPr>
          <w:b/>
        </w:rPr>
      </w:pPr>
      <w:r>
        <w:rPr>
          <w:b/>
        </w:rPr>
        <w:t xml:space="preserve">Finansiering og </w:t>
      </w:r>
      <w:r w:rsidR="00C01626">
        <w:rPr>
          <w:b/>
        </w:rPr>
        <w:t>rekruttering</w:t>
      </w:r>
    </w:p>
    <w:p w14:paraId="056FE372" w14:textId="77777777" w:rsidR="00144E65" w:rsidRDefault="00144E65">
      <w:r>
        <w:t xml:space="preserve">EU har satt av totalt 10,5 millioner Euro til samiske prosjekter i perioden frem til 2027. Norske myndigheter bevilger ikke for hele programperioden, men fastsetter det norske budsjettet årlig via statsbudsjettet. For 2022 er det avsatt ca. 12 millioner kroner til finansiering av Interreg Aurora i Norge. Her er 12%, tilsvarende 1,44 millioner, avsatt til samiske prosjekter. </w:t>
      </w:r>
    </w:p>
    <w:p w14:paraId="30755193" w14:textId="77777777" w:rsidR="0085254A" w:rsidRPr="0085254A" w:rsidRDefault="009516D1">
      <w:r>
        <w:t>I Interreg Aurora vil det være to årlige søknadsrunder i programperioden. Første søknadsrunde er ikke datofestet, men vil være i løpet av våren 2022.</w:t>
      </w:r>
      <w:r w:rsidR="006E532B">
        <w:t xml:space="preserve"> Det vil være en felles mobiliseringsturne for alle Interreg-prosjekt i Nord-Norge i januar/februar 2022.</w:t>
      </w:r>
      <w:r>
        <w:t xml:space="preserve"> For å sikre </w:t>
      </w:r>
      <w:r w:rsidR="007E4DC6">
        <w:t>gode søknader til midlene forbeholdt samiske prosjekter, vil</w:t>
      </w:r>
      <w:r w:rsidR="006E532B">
        <w:t xml:space="preserve"> i tillegg</w:t>
      </w:r>
      <w:r w:rsidR="007E4DC6">
        <w:t xml:space="preserve"> Sametinget</w:t>
      </w:r>
      <w:r w:rsidR="00C01626">
        <w:t xml:space="preserve"> bruke tid på rekruttering av</w:t>
      </w:r>
      <w:r w:rsidR="006E532B">
        <w:t xml:space="preserve"> samiske</w:t>
      </w:r>
      <w:r w:rsidR="00C01626">
        <w:t xml:space="preserve"> søkere </w:t>
      </w:r>
      <w:r w:rsidR="007E4DC6">
        <w:t xml:space="preserve">og søknadsveiledning i perioden frem mot første søknadsfrist. </w:t>
      </w:r>
    </w:p>
    <w:sectPr w:rsidR="0085254A" w:rsidRPr="00852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C0455"/>
    <w:multiLevelType w:val="hybridMultilevel"/>
    <w:tmpl w:val="1736EB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76"/>
    <w:rsid w:val="00002D9B"/>
    <w:rsid w:val="00034BD9"/>
    <w:rsid w:val="00042EA4"/>
    <w:rsid w:val="00070EB7"/>
    <w:rsid w:val="000A17D8"/>
    <w:rsid w:val="000E11B7"/>
    <w:rsid w:val="000E160F"/>
    <w:rsid w:val="00144E65"/>
    <w:rsid w:val="0019757D"/>
    <w:rsid w:val="001C2F6F"/>
    <w:rsid w:val="001D6132"/>
    <w:rsid w:val="001E40F0"/>
    <w:rsid w:val="001F5DDD"/>
    <w:rsid w:val="00211B9C"/>
    <w:rsid w:val="0021309C"/>
    <w:rsid w:val="00237288"/>
    <w:rsid w:val="00272589"/>
    <w:rsid w:val="002B6692"/>
    <w:rsid w:val="002D6A23"/>
    <w:rsid w:val="00316C44"/>
    <w:rsid w:val="0037242D"/>
    <w:rsid w:val="00383FEE"/>
    <w:rsid w:val="003901CA"/>
    <w:rsid w:val="003931B3"/>
    <w:rsid w:val="0039780D"/>
    <w:rsid w:val="00397C8D"/>
    <w:rsid w:val="003B6D0A"/>
    <w:rsid w:val="003F2107"/>
    <w:rsid w:val="0041192B"/>
    <w:rsid w:val="00421002"/>
    <w:rsid w:val="004345B3"/>
    <w:rsid w:val="00443D43"/>
    <w:rsid w:val="00445174"/>
    <w:rsid w:val="004451AF"/>
    <w:rsid w:val="00452DFC"/>
    <w:rsid w:val="00455A54"/>
    <w:rsid w:val="004661B8"/>
    <w:rsid w:val="00471BB9"/>
    <w:rsid w:val="004867A9"/>
    <w:rsid w:val="00495975"/>
    <w:rsid w:val="004E005B"/>
    <w:rsid w:val="004E5717"/>
    <w:rsid w:val="00523C24"/>
    <w:rsid w:val="00574D3B"/>
    <w:rsid w:val="005800AB"/>
    <w:rsid w:val="00582B65"/>
    <w:rsid w:val="005C1A01"/>
    <w:rsid w:val="005D6F49"/>
    <w:rsid w:val="005E7A18"/>
    <w:rsid w:val="005F402C"/>
    <w:rsid w:val="00615686"/>
    <w:rsid w:val="006225F3"/>
    <w:rsid w:val="00676A4A"/>
    <w:rsid w:val="006934A0"/>
    <w:rsid w:val="006C3FEA"/>
    <w:rsid w:val="006C63A9"/>
    <w:rsid w:val="006D7722"/>
    <w:rsid w:val="006E532B"/>
    <w:rsid w:val="007905AD"/>
    <w:rsid w:val="007A3C6C"/>
    <w:rsid w:val="007A7AFB"/>
    <w:rsid w:val="007C602B"/>
    <w:rsid w:val="007E2519"/>
    <w:rsid w:val="007E4DC6"/>
    <w:rsid w:val="007E5473"/>
    <w:rsid w:val="00813D46"/>
    <w:rsid w:val="0084382A"/>
    <w:rsid w:val="0085254A"/>
    <w:rsid w:val="00870A01"/>
    <w:rsid w:val="008747BF"/>
    <w:rsid w:val="00875964"/>
    <w:rsid w:val="008E3393"/>
    <w:rsid w:val="008E7C06"/>
    <w:rsid w:val="009516D1"/>
    <w:rsid w:val="009622CB"/>
    <w:rsid w:val="009718CA"/>
    <w:rsid w:val="009722F8"/>
    <w:rsid w:val="009832C5"/>
    <w:rsid w:val="009A62C0"/>
    <w:rsid w:val="009E49D9"/>
    <w:rsid w:val="009F0737"/>
    <w:rsid w:val="009F0DA1"/>
    <w:rsid w:val="00A1114A"/>
    <w:rsid w:val="00A20559"/>
    <w:rsid w:val="00A2280E"/>
    <w:rsid w:val="00A65C50"/>
    <w:rsid w:val="00A8467B"/>
    <w:rsid w:val="00AC5FDB"/>
    <w:rsid w:val="00AF4C7F"/>
    <w:rsid w:val="00B02583"/>
    <w:rsid w:val="00B27E56"/>
    <w:rsid w:val="00B35101"/>
    <w:rsid w:val="00B5470D"/>
    <w:rsid w:val="00B81BA9"/>
    <w:rsid w:val="00B84B4E"/>
    <w:rsid w:val="00B901A3"/>
    <w:rsid w:val="00B91AE7"/>
    <w:rsid w:val="00BE3CC3"/>
    <w:rsid w:val="00C01626"/>
    <w:rsid w:val="00C1317B"/>
    <w:rsid w:val="00C17B2E"/>
    <w:rsid w:val="00C40100"/>
    <w:rsid w:val="00C602B8"/>
    <w:rsid w:val="00C90F9A"/>
    <w:rsid w:val="00C91BED"/>
    <w:rsid w:val="00C93A61"/>
    <w:rsid w:val="00C9570C"/>
    <w:rsid w:val="00D03DF3"/>
    <w:rsid w:val="00D3617E"/>
    <w:rsid w:val="00DA27EA"/>
    <w:rsid w:val="00DB66E0"/>
    <w:rsid w:val="00DC4476"/>
    <w:rsid w:val="00DC55E7"/>
    <w:rsid w:val="00E0077C"/>
    <w:rsid w:val="00E13873"/>
    <w:rsid w:val="00E16B72"/>
    <w:rsid w:val="00E25FD4"/>
    <w:rsid w:val="00E348C0"/>
    <w:rsid w:val="00E47D5C"/>
    <w:rsid w:val="00E5098C"/>
    <w:rsid w:val="00E646E8"/>
    <w:rsid w:val="00E87162"/>
    <w:rsid w:val="00ED3D2A"/>
    <w:rsid w:val="00F4067A"/>
    <w:rsid w:val="00F80AE0"/>
    <w:rsid w:val="00F93E18"/>
    <w:rsid w:val="00FB7BE5"/>
    <w:rsid w:val="00FF7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B720"/>
  <w15:chartTrackingRefBased/>
  <w15:docId w15:val="{6D3A3335-A26A-41AD-8EFF-AD6E7AD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4E005B"/>
    <w:rPr>
      <w:b/>
      <w:bCs/>
    </w:rPr>
  </w:style>
  <w:style w:type="paragraph" w:styleId="Bildetekst">
    <w:name w:val="caption"/>
    <w:basedOn w:val="Normal"/>
    <w:next w:val="Normal"/>
    <w:uiPriority w:val="35"/>
    <w:unhideWhenUsed/>
    <w:qFormat/>
    <w:rsid w:val="00B27E56"/>
    <w:pPr>
      <w:spacing w:after="200" w:line="240" w:lineRule="auto"/>
    </w:pPr>
    <w:rPr>
      <w:i/>
      <w:iCs/>
      <w:color w:val="44546A" w:themeColor="text2"/>
      <w:sz w:val="18"/>
      <w:szCs w:val="18"/>
    </w:rPr>
  </w:style>
  <w:style w:type="paragraph" w:styleId="Listeavsnitt">
    <w:name w:val="List Paragraph"/>
    <w:basedOn w:val="Normal"/>
    <w:uiPriority w:val="34"/>
    <w:qFormat/>
    <w:rsid w:val="00C9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6297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 Ole-Anders</dc:creator>
  <cp:keywords/>
  <dc:description/>
  <cp:lastModifiedBy>Eira, Siv Marit Romsdal</cp:lastModifiedBy>
  <cp:revision>2</cp:revision>
  <dcterms:created xsi:type="dcterms:W3CDTF">2021-11-09T11:39:00Z</dcterms:created>
  <dcterms:modified xsi:type="dcterms:W3CDTF">2021-11-09T11:39:00Z</dcterms:modified>
</cp:coreProperties>
</file>